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7499" w14:textId="77777777" w:rsidR="00806952" w:rsidRPr="001315D8" w:rsidRDefault="00806952" w:rsidP="00806952">
      <w:pPr>
        <w:jc w:val="center"/>
        <w:rPr>
          <w:b/>
          <w:sz w:val="24"/>
          <w:szCs w:val="24"/>
          <w:lang w:val="lt-LT"/>
        </w:rPr>
      </w:pPr>
    </w:p>
    <w:p w14:paraId="5EB6F11D" w14:textId="77777777" w:rsidR="00806952" w:rsidRPr="001315D8" w:rsidRDefault="00806952" w:rsidP="00806952">
      <w:pPr>
        <w:jc w:val="center"/>
        <w:rPr>
          <w:b/>
          <w:sz w:val="24"/>
          <w:szCs w:val="24"/>
          <w:lang w:val="lt-LT"/>
        </w:rPr>
      </w:pPr>
      <w:r w:rsidRPr="001315D8">
        <w:rPr>
          <w:b/>
          <w:sz w:val="24"/>
          <w:szCs w:val="24"/>
          <w:lang w:val="lt-LT"/>
        </w:rPr>
        <w:t>SPRENDIMO PROJEKTO</w:t>
      </w:r>
    </w:p>
    <w:p w14:paraId="30626593" w14:textId="77777777" w:rsidR="006F7EF3" w:rsidRPr="001315D8" w:rsidRDefault="006F7EF3" w:rsidP="00806952">
      <w:pPr>
        <w:jc w:val="center"/>
        <w:rPr>
          <w:b/>
          <w:sz w:val="24"/>
          <w:szCs w:val="24"/>
          <w:lang w:val="lt-LT"/>
        </w:rPr>
      </w:pPr>
    </w:p>
    <w:p w14:paraId="2B4CD614" w14:textId="635CDD6B" w:rsidR="00806952" w:rsidRPr="001315D8" w:rsidRDefault="006F7EF3" w:rsidP="006F7EF3">
      <w:pPr>
        <w:jc w:val="center"/>
        <w:rPr>
          <w:b/>
          <w:bCs/>
          <w:sz w:val="24"/>
          <w:szCs w:val="24"/>
          <w:lang w:val="lt-LT"/>
        </w:rPr>
      </w:pPr>
      <w:bookmarkStart w:id="0" w:name="_Hlk32480696"/>
      <w:r w:rsidRPr="001315D8">
        <w:rPr>
          <w:b/>
          <w:bCs/>
          <w:sz w:val="24"/>
          <w:szCs w:val="24"/>
          <w:lang w:val="lt-LT"/>
        </w:rPr>
        <w:t xml:space="preserve">DĖL </w:t>
      </w:r>
      <w:bookmarkEnd w:id="0"/>
      <w:r w:rsidRPr="001315D8">
        <w:rPr>
          <w:b/>
          <w:sz w:val="24"/>
          <w:szCs w:val="24"/>
          <w:lang w:val="lt-LT"/>
        </w:rPr>
        <w:t>ROKIŠKIO RAJONO SAVIVALDYBĖS TARYBOS 2022 M. BALANDŽIO 29 D. SPRENDIMO NR. TS-126 „DĖL ROKIŠKIO RAJONO SAVIVALDYBĖS KULTŪROS IR MENO PREMIJŲ IR APDOVANOJIMŲ</w:t>
      </w:r>
      <w:r w:rsidR="00940448">
        <w:rPr>
          <w:b/>
          <w:sz w:val="24"/>
          <w:szCs w:val="24"/>
          <w:lang w:val="lt-LT"/>
        </w:rPr>
        <w:t xml:space="preserve"> </w:t>
      </w:r>
      <w:r w:rsidR="00940448" w:rsidRPr="00940448">
        <w:rPr>
          <w:b/>
          <w:sz w:val="24"/>
          <w:szCs w:val="24"/>
          <w:lang w:val="lt-LT"/>
        </w:rPr>
        <w:t>SĄRAŠO</w:t>
      </w:r>
      <w:r w:rsidRPr="00940448">
        <w:rPr>
          <w:b/>
          <w:sz w:val="24"/>
          <w:szCs w:val="24"/>
          <w:lang w:val="lt-LT"/>
        </w:rPr>
        <w:t xml:space="preserve"> </w:t>
      </w:r>
      <w:r w:rsidR="00940448" w:rsidRPr="00940448">
        <w:rPr>
          <w:b/>
          <w:sz w:val="24"/>
          <w:szCs w:val="24"/>
          <w:lang w:val="lt-LT"/>
        </w:rPr>
        <w:t xml:space="preserve">IR JŲ </w:t>
      </w:r>
      <w:r w:rsidRPr="001315D8">
        <w:rPr>
          <w:b/>
          <w:sz w:val="24"/>
          <w:szCs w:val="24"/>
          <w:lang w:val="lt-LT"/>
        </w:rPr>
        <w:t xml:space="preserve">SKYRIMO TVARKOS APRAŠO </w:t>
      </w:r>
      <w:r w:rsidRPr="001315D8">
        <w:rPr>
          <w:b/>
          <w:bCs/>
          <w:sz w:val="24"/>
          <w:szCs w:val="24"/>
          <w:lang w:val="lt-LT"/>
        </w:rPr>
        <w:t xml:space="preserve">PATVIRTINIMO“ PAKEITIMO </w:t>
      </w:r>
      <w:r w:rsidR="00806952" w:rsidRPr="001315D8">
        <w:rPr>
          <w:b/>
          <w:sz w:val="24"/>
          <w:szCs w:val="24"/>
          <w:lang w:val="lt-LT"/>
        </w:rPr>
        <w:t>AIŠKINAMASIS RAŠTAS</w:t>
      </w:r>
    </w:p>
    <w:p w14:paraId="3DBD905D" w14:textId="77777777" w:rsidR="00806952" w:rsidRPr="001315D8" w:rsidRDefault="00806952" w:rsidP="00806952">
      <w:pPr>
        <w:jc w:val="center"/>
        <w:rPr>
          <w:sz w:val="24"/>
          <w:szCs w:val="24"/>
          <w:lang w:val="lt-LT"/>
        </w:rPr>
      </w:pPr>
    </w:p>
    <w:p w14:paraId="2C58041F" w14:textId="77777777" w:rsidR="00806952" w:rsidRPr="001315D8" w:rsidRDefault="00806952" w:rsidP="00806952">
      <w:pPr>
        <w:jc w:val="center"/>
        <w:rPr>
          <w:sz w:val="24"/>
          <w:szCs w:val="24"/>
          <w:lang w:val="lt-LT"/>
        </w:rPr>
      </w:pPr>
      <w:r w:rsidRPr="001315D8">
        <w:rPr>
          <w:sz w:val="24"/>
          <w:szCs w:val="24"/>
          <w:lang w:val="lt-LT"/>
        </w:rPr>
        <w:t>2023-09-28</w:t>
      </w:r>
    </w:p>
    <w:p w14:paraId="47A2E5EA" w14:textId="77777777" w:rsidR="00806952" w:rsidRPr="001315D8" w:rsidRDefault="00806952" w:rsidP="00806952">
      <w:pPr>
        <w:rPr>
          <w:sz w:val="24"/>
          <w:szCs w:val="24"/>
          <w:lang w:val="lt-LT"/>
        </w:rPr>
      </w:pPr>
    </w:p>
    <w:p w14:paraId="4F5B14E1" w14:textId="436F6A1D" w:rsidR="00806952" w:rsidRPr="001315D8" w:rsidRDefault="00806952" w:rsidP="001A05CB">
      <w:pPr>
        <w:jc w:val="both"/>
        <w:rPr>
          <w:sz w:val="24"/>
          <w:szCs w:val="24"/>
          <w:lang w:val="lt-LT"/>
        </w:rPr>
      </w:pPr>
      <w:r w:rsidRPr="001315D8">
        <w:rPr>
          <w:sz w:val="24"/>
          <w:szCs w:val="24"/>
          <w:lang w:val="lt-LT"/>
        </w:rPr>
        <w:t>Projekto rengėjas – Komunikacijos ir kultūros skyriaus vyresnioji specialistė Rasa Pugžlienė.</w:t>
      </w:r>
    </w:p>
    <w:p w14:paraId="743CD187" w14:textId="24658A37" w:rsidR="00806952" w:rsidRPr="001315D8" w:rsidRDefault="00806952" w:rsidP="001A05CB">
      <w:pPr>
        <w:jc w:val="both"/>
        <w:rPr>
          <w:sz w:val="24"/>
          <w:szCs w:val="24"/>
          <w:lang w:val="lt-LT"/>
        </w:rPr>
      </w:pPr>
      <w:r w:rsidRPr="001315D8">
        <w:rPr>
          <w:sz w:val="24"/>
          <w:szCs w:val="24"/>
          <w:lang w:val="lt-LT"/>
        </w:rPr>
        <w:t xml:space="preserve">Pranešėjas komitetų ir </w:t>
      </w:r>
      <w:r w:rsidR="001315D8" w:rsidRPr="001315D8">
        <w:rPr>
          <w:sz w:val="24"/>
          <w:szCs w:val="24"/>
          <w:lang w:val="lt-LT"/>
        </w:rPr>
        <w:t>t</w:t>
      </w:r>
      <w:r w:rsidRPr="001315D8">
        <w:rPr>
          <w:sz w:val="24"/>
          <w:szCs w:val="24"/>
          <w:lang w:val="lt-LT"/>
        </w:rPr>
        <w:t>arybos posėdžiuose</w:t>
      </w:r>
      <w:r w:rsidR="00A21A30" w:rsidRPr="001315D8">
        <w:rPr>
          <w:sz w:val="24"/>
          <w:szCs w:val="24"/>
          <w:lang w:val="lt-LT"/>
        </w:rPr>
        <w:t>: komitetų posėdžiuose –</w:t>
      </w:r>
      <w:r w:rsidRPr="001315D8">
        <w:rPr>
          <w:sz w:val="24"/>
          <w:szCs w:val="24"/>
          <w:lang w:val="lt-LT"/>
        </w:rPr>
        <w:t xml:space="preserve"> Komunikacijos ir kultūros skyriaus vedėja Irena Matelienė</w:t>
      </w:r>
      <w:r w:rsidR="00A21A30" w:rsidRPr="001315D8">
        <w:rPr>
          <w:sz w:val="24"/>
          <w:szCs w:val="24"/>
          <w:lang w:val="lt-LT"/>
        </w:rPr>
        <w:t xml:space="preserve">, </w:t>
      </w:r>
      <w:r w:rsidR="001315D8" w:rsidRPr="001315D8">
        <w:rPr>
          <w:sz w:val="24"/>
          <w:szCs w:val="24"/>
          <w:lang w:val="lt-LT"/>
        </w:rPr>
        <w:t xml:space="preserve">tarybos </w:t>
      </w:r>
      <w:r w:rsidR="00A21A30" w:rsidRPr="001315D8">
        <w:rPr>
          <w:sz w:val="24"/>
          <w:szCs w:val="24"/>
          <w:lang w:val="lt-LT"/>
        </w:rPr>
        <w:t xml:space="preserve">posėdyje – Komunikacijos ir kultūros skyriaus vedėjo pavaduotoja </w:t>
      </w:r>
    </w:p>
    <w:p w14:paraId="0BFE35BE" w14:textId="77777777" w:rsidR="00A21A30" w:rsidRPr="001315D8" w:rsidRDefault="00A21A30" w:rsidP="001A05CB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46"/>
        <w:gridCol w:w="6586"/>
      </w:tblGrid>
      <w:tr w:rsidR="00806952" w:rsidRPr="001315D8" w14:paraId="1F9201D1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76B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BFA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91C1C8A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ABF" w14:textId="7C5B9353" w:rsidR="00806952" w:rsidRPr="001315D8" w:rsidRDefault="00727D72" w:rsidP="00727D72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Pakeisti Rokiškio rajono savivaldybės tarybos 2022 m. balandžio 29 d. sprendimu Nr. TS-126 patvirtintą</w:t>
            </w:r>
            <w:r w:rsidR="00940448">
              <w:rPr>
                <w:sz w:val="24"/>
                <w:szCs w:val="24"/>
                <w:lang w:val="lt-LT"/>
              </w:rPr>
              <w:t xml:space="preserve"> </w:t>
            </w:r>
            <w:r w:rsidRPr="001315D8">
              <w:rPr>
                <w:sz w:val="24"/>
                <w:szCs w:val="24"/>
                <w:lang w:val="lt-LT"/>
              </w:rPr>
              <w:t>Rokiškio rajono savivaldybės kultūros ir meno premijų ir apdovanojimų</w:t>
            </w:r>
            <w:r w:rsidR="00940448">
              <w:rPr>
                <w:sz w:val="24"/>
                <w:szCs w:val="24"/>
                <w:lang w:val="lt-LT"/>
              </w:rPr>
              <w:t xml:space="preserve"> </w:t>
            </w:r>
            <w:r w:rsidR="00940448" w:rsidRPr="00940448">
              <w:rPr>
                <w:sz w:val="24"/>
                <w:szCs w:val="24"/>
                <w:lang w:val="lt-LT"/>
              </w:rPr>
              <w:t>sąrašo</w:t>
            </w:r>
            <w:r w:rsidRPr="00940448">
              <w:rPr>
                <w:sz w:val="24"/>
                <w:szCs w:val="24"/>
                <w:lang w:val="lt-LT"/>
              </w:rPr>
              <w:t xml:space="preserve"> </w:t>
            </w:r>
            <w:r w:rsidR="00940448" w:rsidRPr="00940448">
              <w:rPr>
                <w:sz w:val="24"/>
                <w:szCs w:val="24"/>
                <w:lang w:val="lt-LT"/>
              </w:rPr>
              <w:t xml:space="preserve">ir jų </w:t>
            </w:r>
            <w:r w:rsidRPr="001315D8">
              <w:rPr>
                <w:sz w:val="24"/>
                <w:szCs w:val="24"/>
                <w:lang w:val="lt-LT"/>
              </w:rPr>
              <w:t>skyrimo tvarkos aprašą.</w:t>
            </w:r>
          </w:p>
        </w:tc>
      </w:tr>
      <w:tr w:rsidR="00806952" w:rsidRPr="001315D8" w14:paraId="22C8C942" w14:textId="77777777" w:rsidTr="00866EF6">
        <w:trPr>
          <w:trHeight w:val="112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F4A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4D8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27C" w14:textId="7E3A9484" w:rsidR="00806952" w:rsidRPr="001315D8" w:rsidRDefault="00806952" w:rsidP="00866EF6">
            <w:pPr>
              <w:pStyle w:val="Antrats"/>
              <w:tabs>
                <w:tab w:val="right" w:pos="709"/>
              </w:tabs>
              <w:jc w:val="both"/>
              <w:rPr>
                <w:rFonts w:eastAsia="Lucida Sans Unicode"/>
                <w:sz w:val="24"/>
                <w:szCs w:val="24"/>
                <w:lang w:val="lt-LT"/>
              </w:rPr>
            </w:pPr>
          </w:p>
        </w:tc>
      </w:tr>
      <w:tr w:rsidR="00806952" w:rsidRPr="001315D8" w14:paraId="6F973923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A645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EDF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Laukiami rezultatai</w:t>
            </w:r>
          </w:p>
          <w:p w14:paraId="4764F46E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EABE" w14:textId="0E631DF2" w:rsidR="00806952" w:rsidRPr="001315D8" w:rsidRDefault="001315D8" w:rsidP="00866EF6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S</w:t>
            </w:r>
            <w:r w:rsidR="007F4A20" w:rsidRPr="001315D8">
              <w:rPr>
                <w:sz w:val="24"/>
                <w:szCs w:val="24"/>
                <w:lang w:val="lt-LT"/>
              </w:rPr>
              <w:t xml:space="preserve">prendimas leis </w:t>
            </w:r>
            <w:r w:rsidR="0082380D" w:rsidRPr="001315D8">
              <w:rPr>
                <w:sz w:val="24"/>
                <w:szCs w:val="24"/>
                <w:lang w:val="lt-LT"/>
              </w:rPr>
              <w:t>įstaigoms</w:t>
            </w:r>
            <w:r w:rsidR="007F4A20" w:rsidRPr="001315D8">
              <w:rPr>
                <w:sz w:val="24"/>
                <w:szCs w:val="24"/>
                <w:lang w:val="lt-LT"/>
              </w:rPr>
              <w:t xml:space="preserve"> racionaliau planuoti lėšas</w:t>
            </w:r>
            <w:r w:rsidR="0082380D" w:rsidRPr="001315D8">
              <w:rPr>
                <w:sz w:val="24"/>
                <w:szCs w:val="24"/>
                <w:lang w:val="lt-LT"/>
              </w:rPr>
              <w:t xml:space="preserve"> bei tinkamai pasiruošti apdovanojimų ceremonij</w:t>
            </w:r>
            <w:r w:rsidR="00207CE3" w:rsidRPr="001315D8">
              <w:rPr>
                <w:sz w:val="24"/>
                <w:szCs w:val="24"/>
                <w:lang w:val="lt-LT"/>
              </w:rPr>
              <w:t>oms</w:t>
            </w:r>
            <w:r w:rsidR="007F4A20" w:rsidRPr="001315D8">
              <w:rPr>
                <w:sz w:val="24"/>
                <w:szCs w:val="24"/>
                <w:lang w:val="lt-LT"/>
              </w:rPr>
              <w:t>.</w:t>
            </w:r>
          </w:p>
        </w:tc>
      </w:tr>
      <w:tr w:rsidR="00806952" w:rsidRPr="001315D8" w14:paraId="4BAE3BBF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3CF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BD8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0E5" w14:textId="61E935DD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</w:tr>
      <w:tr w:rsidR="00806952" w:rsidRPr="001315D8" w14:paraId="66A708D3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DDF5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C76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978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806952" w:rsidRPr="001315D8" w14:paraId="49D36969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464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CB8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A86D81E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</w:p>
          <w:p w14:paraId="021DD8AF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190" w14:textId="6EBAE1EE" w:rsidR="00D0710D" w:rsidRPr="001315D8" w:rsidRDefault="00207CE3" w:rsidP="00D0710D">
            <w:pPr>
              <w:tabs>
                <w:tab w:val="left" w:pos="851"/>
              </w:tabs>
              <w:ind w:firstLine="709"/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Atsižvelgdami į 2023 m. rugpjūčio 7 d. gautą Rokiškio kultūros centro raštą ISD-121 „Dėl 40-ojo Lietuvos profesionalių teatrų festivalio „V</w:t>
            </w:r>
            <w:r w:rsidR="001315D8" w:rsidRPr="001315D8">
              <w:rPr>
                <w:sz w:val="24"/>
                <w:szCs w:val="24"/>
                <w:lang w:val="lt-LT"/>
              </w:rPr>
              <w:t>aidiname</w:t>
            </w:r>
            <w:r w:rsidRPr="001315D8">
              <w:rPr>
                <w:sz w:val="24"/>
                <w:szCs w:val="24"/>
                <w:lang w:val="lt-LT"/>
              </w:rPr>
              <w:t xml:space="preserve"> </w:t>
            </w:r>
            <w:r w:rsidR="001315D8" w:rsidRPr="001315D8">
              <w:rPr>
                <w:sz w:val="24"/>
                <w:szCs w:val="24"/>
                <w:lang w:val="lt-LT"/>
              </w:rPr>
              <w:t>žemdirbiams</w:t>
            </w:r>
            <w:r w:rsidRPr="001315D8">
              <w:rPr>
                <w:sz w:val="24"/>
                <w:szCs w:val="24"/>
                <w:lang w:val="lt-LT"/>
              </w:rPr>
              <w:t>“ premijos ir ceremonijos organizavimo išlaidų“</w:t>
            </w:r>
            <w:r w:rsidR="00D0710D" w:rsidRPr="001315D8">
              <w:rPr>
                <w:sz w:val="24"/>
                <w:szCs w:val="24"/>
                <w:lang w:val="lt-LT"/>
              </w:rPr>
              <w:t>, kuriame prašoma padidinti premiją iki 123 MGL,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 bei padidinti išlaidas apdovanojimų ceremonijai, </w:t>
            </w:r>
            <w:r w:rsidR="00D0710D" w:rsidRPr="001315D8">
              <w:rPr>
                <w:sz w:val="24"/>
                <w:szCs w:val="24"/>
                <w:lang w:val="lt-LT"/>
              </w:rPr>
              <w:t xml:space="preserve">kadangi ilgametis festivalio rėmėjas AB „Rokiškio sūris“ padidino premiją už geriausią spektaklį vaikams iki 6000 </w:t>
            </w:r>
            <w:r w:rsidR="001315D8" w:rsidRPr="001315D8">
              <w:rPr>
                <w:sz w:val="24"/>
                <w:szCs w:val="24"/>
                <w:lang w:val="lt-LT"/>
              </w:rPr>
              <w:t>E</w:t>
            </w:r>
            <w:r w:rsidR="00D0710D" w:rsidRPr="001315D8">
              <w:rPr>
                <w:sz w:val="24"/>
                <w:szCs w:val="24"/>
                <w:lang w:val="lt-LT"/>
              </w:rPr>
              <w:t>ur.</w:t>
            </w:r>
          </w:p>
          <w:p w14:paraId="538F1AA1" w14:textId="78670A70" w:rsidR="00D0710D" w:rsidRPr="001315D8" w:rsidRDefault="00D0710D" w:rsidP="004713A3">
            <w:pPr>
              <w:tabs>
                <w:tab w:val="left" w:pos="851"/>
              </w:tabs>
              <w:ind w:firstLine="709"/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2023 m. rugpjūčio 29 d. 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vykusiame </w:t>
            </w:r>
            <w:r w:rsidRPr="001315D8">
              <w:rPr>
                <w:sz w:val="24"/>
                <w:szCs w:val="24"/>
                <w:lang w:val="lt-LT"/>
              </w:rPr>
              <w:t>Rokiškio rajono savivaldybės kultūros ir turizmo tarybos posėd</w:t>
            </w:r>
            <w:r w:rsidR="004713A3" w:rsidRPr="001315D8">
              <w:rPr>
                <w:sz w:val="24"/>
                <w:szCs w:val="24"/>
                <w:lang w:val="lt-LT"/>
              </w:rPr>
              <w:t>yje</w:t>
            </w:r>
            <w:r w:rsidRPr="001315D8">
              <w:rPr>
                <w:sz w:val="24"/>
                <w:szCs w:val="24"/>
                <w:lang w:val="lt-LT"/>
              </w:rPr>
              <w:t xml:space="preserve">, 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buvo pritarta teikti </w:t>
            </w:r>
            <w:r w:rsidRPr="001315D8">
              <w:rPr>
                <w:sz w:val="24"/>
                <w:szCs w:val="24"/>
                <w:lang w:val="lt-LT"/>
              </w:rPr>
              <w:t>siūlym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ą </w:t>
            </w:r>
            <w:r w:rsidRPr="001315D8">
              <w:rPr>
                <w:sz w:val="24"/>
                <w:szCs w:val="24"/>
                <w:lang w:val="lt-LT"/>
              </w:rPr>
              <w:t>Rokiškio rajono savivaldybės taryb</w:t>
            </w:r>
            <w:r w:rsidR="004713A3" w:rsidRPr="001315D8">
              <w:rPr>
                <w:sz w:val="24"/>
                <w:szCs w:val="24"/>
                <w:lang w:val="lt-LT"/>
              </w:rPr>
              <w:t>ai</w:t>
            </w:r>
            <w:r w:rsidRPr="001315D8">
              <w:rPr>
                <w:sz w:val="24"/>
                <w:szCs w:val="24"/>
                <w:lang w:val="lt-LT"/>
              </w:rPr>
              <w:t xml:space="preserve"> dėl Rokiškio rajono savivaldybės kultūros ir meno premijų apdovanojimų skyrimo tvarkos aprašo pakeitimo, susijusio su festivalio „V</w:t>
            </w:r>
            <w:r w:rsidR="001315D8" w:rsidRPr="001315D8">
              <w:rPr>
                <w:sz w:val="24"/>
                <w:szCs w:val="24"/>
                <w:lang w:val="lt-LT"/>
              </w:rPr>
              <w:t>aidiname žemdirbiams</w:t>
            </w:r>
            <w:r w:rsidRPr="001315D8">
              <w:rPr>
                <w:sz w:val="24"/>
                <w:szCs w:val="24"/>
                <w:lang w:val="lt-LT"/>
              </w:rPr>
              <w:t>“ premijos dydžio 61 MGL ir ceremonijos organizavimo sumos didinimo iki 20 proc.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 </w:t>
            </w:r>
          </w:p>
          <w:p w14:paraId="713643C9" w14:textId="67C10669" w:rsidR="00806952" w:rsidRPr="001315D8" w:rsidRDefault="00D0710D" w:rsidP="001955D2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Siūlome pritarti šia</w:t>
            </w:r>
            <w:r w:rsidR="004713A3" w:rsidRPr="001315D8">
              <w:rPr>
                <w:sz w:val="24"/>
                <w:szCs w:val="24"/>
                <w:lang w:val="lt-LT"/>
              </w:rPr>
              <w:t>m</w:t>
            </w:r>
            <w:r w:rsidRPr="001315D8">
              <w:rPr>
                <w:sz w:val="24"/>
                <w:szCs w:val="24"/>
                <w:lang w:val="lt-LT"/>
              </w:rPr>
              <w:t xml:space="preserve"> sprendim</w:t>
            </w:r>
            <w:r w:rsidR="004713A3" w:rsidRPr="001315D8">
              <w:rPr>
                <w:sz w:val="24"/>
                <w:szCs w:val="24"/>
                <w:lang w:val="lt-LT"/>
              </w:rPr>
              <w:t>o projektui</w:t>
            </w:r>
            <w:r w:rsidRPr="001315D8">
              <w:rPr>
                <w:sz w:val="24"/>
                <w:szCs w:val="24"/>
                <w:lang w:val="lt-LT"/>
              </w:rPr>
              <w:t>, kadangi</w:t>
            </w:r>
            <w:r w:rsidR="001955D2" w:rsidRPr="001315D8">
              <w:rPr>
                <w:sz w:val="24"/>
                <w:szCs w:val="24"/>
                <w:lang w:val="lt-LT"/>
              </w:rPr>
              <w:t xml:space="preserve"> </w:t>
            </w:r>
            <w:r w:rsidR="001C1730" w:rsidRPr="001315D8">
              <w:rPr>
                <w:sz w:val="24"/>
                <w:szCs w:val="24"/>
                <w:lang w:val="lt-LT"/>
              </w:rPr>
              <w:t xml:space="preserve">išaugusios kainos tampa didele našta organizatoriams 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norint </w:t>
            </w:r>
            <w:r w:rsidR="001C1730" w:rsidRPr="001315D8">
              <w:rPr>
                <w:sz w:val="24"/>
                <w:szCs w:val="24"/>
                <w:lang w:val="lt-LT"/>
              </w:rPr>
              <w:t xml:space="preserve">tinkamai </w:t>
            </w:r>
            <w:r w:rsidR="004713A3" w:rsidRPr="001315D8">
              <w:rPr>
                <w:sz w:val="24"/>
                <w:szCs w:val="24"/>
                <w:lang w:val="lt-LT"/>
              </w:rPr>
              <w:t xml:space="preserve">ir kokybiškai </w:t>
            </w:r>
            <w:r w:rsidR="001955D2" w:rsidRPr="001315D8">
              <w:rPr>
                <w:sz w:val="24"/>
                <w:szCs w:val="24"/>
                <w:lang w:val="lt-LT"/>
              </w:rPr>
              <w:t>organizuoti renginį.</w:t>
            </w:r>
          </w:p>
        </w:tc>
      </w:tr>
      <w:tr w:rsidR="00806952" w:rsidRPr="001315D8" w14:paraId="48B8E622" w14:textId="77777777" w:rsidTr="00866EF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07E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954" w14:textId="77777777" w:rsidR="00806952" w:rsidRPr="001315D8" w:rsidRDefault="00806952" w:rsidP="00866EF6">
            <w:pPr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Sprendimo projekto lyginamasis variantas (jeigu teikiamas </w:t>
            </w:r>
            <w:r w:rsidRPr="001315D8">
              <w:rPr>
                <w:sz w:val="24"/>
                <w:szCs w:val="24"/>
                <w:lang w:val="lt-LT"/>
              </w:rPr>
              <w:lastRenderedPageBreak/>
              <w:t>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Lentelstinklelis"/>
              <w:tblW w:w="5000" w:type="pct"/>
              <w:tblLook w:val="04A0" w:firstRow="1" w:lastRow="0" w:firstColumn="1" w:lastColumn="0" w:noHBand="0" w:noVBand="1"/>
            </w:tblPr>
            <w:tblGrid>
              <w:gridCol w:w="2030"/>
              <w:gridCol w:w="4330"/>
            </w:tblGrid>
            <w:tr w:rsidR="00BF5556" w:rsidRPr="001315D8" w14:paraId="3B7BD8C3" w14:textId="77777777" w:rsidTr="00C77151">
              <w:tc>
                <w:tcPr>
                  <w:tcW w:w="1596" w:type="pct"/>
                </w:tcPr>
                <w:p w14:paraId="3D94E7C7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lastRenderedPageBreak/>
                    <w:t xml:space="preserve">1. Geriausio festivalio spektaklio premija (Lietuvos </w:t>
                  </w: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lastRenderedPageBreak/>
                    <w:t>profesionalių teatrų festivalis „Vaidiname žemdirbiams“)</w:t>
                  </w:r>
                </w:p>
                <w:p w14:paraId="148C8B72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404" w:type="pct"/>
                </w:tcPr>
                <w:p w14:paraId="284E5694" w14:textId="77777777" w:rsidR="00431D9B" w:rsidRPr="001315D8" w:rsidRDefault="00431D9B" w:rsidP="00431D9B">
                  <w:pPr>
                    <w:rPr>
                      <w:bCs/>
                      <w:strike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trike/>
                      <w:sz w:val="24"/>
                      <w:szCs w:val="24"/>
                      <w:lang w:val="lt-LT"/>
                    </w:rPr>
                    <w:lastRenderedPageBreak/>
                    <w:t xml:space="preserve">1.1. premijos dydis: 72 MGL; </w:t>
                  </w:r>
                </w:p>
                <w:p w14:paraId="7D40C99F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1.2. periodiškumas: 1 metai;</w:t>
                  </w:r>
                </w:p>
                <w:p w14:paraId="3983DFB5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1.3. skaičius per periodą: 1 premija;</w:t>
                  </w:r>
                </w:p>
                <w:p w14:paraId="132A01D7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lastRenderedPageBreak/>
                    <w:t xml:space="preserve">1.4. būtinoji skyrimo sąlyga: organizuojamas Lietuvos profesionalių teatrų festivalis „Vaidiname žemdirbiams“; </w:t>
                  </w:r>
                </w:p>
                <w:p w14:paraId="4D955BD6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1.5. teikimo laikotarpis ir / ar data: vasario–balandžio mėn., Lietuvos profesionalių teatrų festivalio „Vaidiname žemdirbiams“ metu;</w:t>
                  </w:r>
                </w:p>
                <w:p w14:paraId="75F10C90" w14:textId="77777777" w:rsidR="00BF5556" w:rsidRPr="001315D8" w:rsidRDefault="00BF5556" w:rsidP="00BF5556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1.6. premijos teikimo reglamentavimo dokumentų rengėjas ir įgyvendinimo koordinatorius: Rokiškio kultūros centras.</w:t>
                  </w:r>
                </w:p>
              </w:tc>
            </w:tr>
            <w:tr w:rsidR="00431D9B" w:rsidRPr="001315D8" w14:paraId="4D201207" w14:textId="77777777" w:rsidTr="00C77151">
              <w:tc>
                <w:tcPr>
                  <w:tcW w:w="1596" w:type="pct"/>
                </w:tcPr>
                <w:p w14:paraId="727EF86A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lastRenderedPageBreak/>
                    <w:t>1. Geriausio festivalio spektaklio premija (Lietuvos profesionalių teatrų festivalis „Vaidiname žemdirbiams“)</w:t>
                  </w:r>
                </w:p>
                <w:p w14:paraId="0C0D0055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404" w:type="pct"/>
                </w:tcPr>
                <w:p w14:paraId="69D2803D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 xml:space="preserve">1.1. premijos dydis: 123 MGL; </w:t>
                  </w:r>
                </w:p>
                <w:p w14:paraId="4B8E8950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1.2. periodiškumas: 1 metai;</w:t>
                  </w:r>
                </w:p>
                <w:p w14:paraId="3636A425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1.3. skaičius per periodą: 1 premija;</w:t>
                  </w:r>
                </w:p>
                <w:p w14:paraId="6943F05D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 xml:space="preserve">1.4. būtinoji skyrimo sąlyga: organizuojamas Lietuvos profesionalių teatrų festivalis „Vaidiname žemdirbiams“; </w:t>
                  </w:r>
                </w:p>
                <w:p w14:paraId="6E690037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1.5. teikimo laikotarpis ir / ar data: vasario–balandžio mėn., Lietuvos profesionalių teatrų festivalio „Vaidiname žemdirbiams“ metu;</w:t>
                  </w:r>
                </w:p>
                <w:p w14:paraId="4D3A356A" w14:textId="77777777" w:rsidR="00431D9B" w:rsidRPr="001315D8" w:rsidRDefault="00431D9B" w:rsidP="00431D9B">
                  <w:pPr>
                    <w:rPr>
                      <w:bCs/>
                      <w:sz w:val="24"/>
                      <w:szCs w:val="24"/>
                      <w:lang w:val="lt-LT"/>
                    </w:rPr>
                  </w:pPr>
                  <w:r w:rsidRPr="001315D8">
                    <w:rPr>
                      <w:bCs/>
                      <w:sz w:val="24"/>
                      <w:szCs w:val="24"/>
                      <w:lang w:val="lt-LT"/>
                    </w:rPr>
                    <w:t>1.6. premijos teikimo reglamentavimo dokumentų rengėjas ir įgyvendinimo koordinatorius: Rokiškio kultūros centras.</w:t>
                  </w:r>
                </w:p>
              </w:tc>
            </w:tr>
          </w:tbl>
          <w:p w14:paraId="462A2F7A" w14:textId="77777777" w:rsidR="00F730BD" w:rsidRPr="001315D8" w:rsidRDefault="00F730BD" w:rsidP="00F730BD">
            <w:pPr>
              <w:jc w:val="both"/>
              <w:rPr>
                <w:strike/>
                <w:sz w:val="24"/>
                <w:szCs w:val="24"/>
                <w:lang w:val="lt-LT"/>
              </w:rPr>
            </w:pPr>
          </w:p>
          <w:p w14:paraId="3E669E77" w14:textId="5952523F" w:rsidR="00290C16" w:rsidRPr="001315D8" w:rsidRDefault="00290C16" w:rsidP="00290C16">
            <w:pPr>
              <w:ind w:firstLine="720"/>
              <w:jc w:val="both"/>
              <w:rPr>
                <w:strike/>
                <w:sz w:val="24"/>
                <w:szCs w:val="24"/>
                <w:lang w:val="lt-LT"/>
              </w:rPr>
            </w:pPr>
            <w:r w:rsidRPr="001315D8">
              <w:rPr>
                <w:strike/>
                <w:sz w:val="24"/>
                <w:szCs w:val="24"/>
                <w:lang w:val="lt-LT"/>
              </w:rPr>
              <w:t xml:space="preserve">5. Premijų dydžiai ir apdovanojimų forma bei jų atributikai gaminti nustatyti lėšų dydžiai  nustatyti </w:t>
            </w:r>
            <w:r w:rsidRPr="001315D8">
              <w:rPr>
                <w:bCs/>
                <w:strike/>
                <w:sz w:val="24"/>
                <w:szCs w:val="24"/>
                <w:lang w:val="lt-LT"/>
              </w:rPr>
              <w:t xml:space="preserve">Rokiškio rajono savivaldybės kultūros ir meno premijų ir apdovanojimų sąraše. </w:t>
            </w:r>
            <w:r w:rsidRPr="001315D8">
              <w:rPr>
                <w:strike/>
                <w:sz w:val="24"/>
                <w:szCs w:val="24"/>
                <w:lang w:val="lt-LT"/>
              </w:rPr>
              <w:t xml:space="preserve">Premijų ir apdovanojimų ceremonijoms skiriama ne daugiau kaip 15 MGL vienai ceremonijai. </w:t>
            </w:r>
          </w:p>
          <w:p w14:paraId="64AC800A" w14:textId="0BDDAE2D" w:rsidR="00806952" w:rsidRPr="001315D8" w:rsidRDefault="00290C16" w:rsidP="00C46F66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 w:rsidRPr="001315D8">
              <w:rPr>
                <w:sz w:val="24"/>
                <w:szCs w:val="24"/>
                <w:lang w:val="lt-LT"/>
              </w:rPr>
              <w:t xml:space="preserve">5. Premijų dydžiai ir apdovanojimų forma bei jų atributikai gaminti nustatyti lėšų dydžiai nustatyti </w:t>
            </w:r>
            <w:r w:rsidRPr="001315D8">
              <w:rPr>
                <w:bCs/>
                <w:sz w:val="24"/>
                <w:szCs w:val="24"/>
                <w:lang w:val="lt-LT"/>
              </w:rPr>
              <w:t xml:space="preserve">Rokiškio rajono savivaldybės kultūros ir meno premijų ir apdovanojimų sąraše. </w:t>
            </w:r>
            <w:r w:rsidRPr="001315D8">
              <w:rPr>
                <w:sz w:val="24"/>
                <w:szCs w:val="24"/>
                <w:lang w:val="lt-LT"/>
              </w:rPr>
              <w:t xml:space="preserve">Premijų ir apdovanojimų ceremonijoms skiriama ne daugiau kaip 20 procentų premijos dydžio vienai ceremonijai. </w:t>
            </w:r>
            <w:r w:rsidRPr="001315D8">
              <w:rPr>
                <w:sz w:val="24"/>
                <w:szCs w:val="24"/>
                <w:lang w:val="lt-LT"/>
              </w:rPr>
              <w:br/>
            </w:r>
          </w:p>
        </w:tc>
      </w:tr>
    </w:tbl>
    <w:p w14:paraId="44103E62" w14:textId="77777777" w:rsidR="008A2AE0" w:rsidRPr="001315D8" w:rsidRDefault="008A2AE0">
      <w:pPr>
        <w:rPr>
          <w:lang w:val="lt-LT"/>
        </w:rPr>
      </w:pPr>
    </w:p>
    <w:sectPr w:rsidR="008A2AE0" w:rsidRPr="001315D8" w:rsidSect="00806952">
      <w:headerReference w:type="first" r:id="rId6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081A" w14:textId="77777777" w:rsidR="00751BB9" w:rsidRDefault="00751BB9" w:rsidP="00806952">
      <w:r>
        <w:separator/>
      </w:r>
    </w:p>
  </w:endnote>
  <w:endnote w:type="continuationSeparator" w:id="0">
    <w:p w14:paraId="29046814" w14:textId="77777777" w:rsidR="00751BB9" w:rsidRDefault="00751BB9" w:rsidP="008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2290" w14:textId="77777777" w:rsidR="00751BB9" w:rsidRDefault="00751BB9" w:rsidP="00806952">
      <w:r>
        <w:separator/>
      </w:r>
    </w:p>
  </w:footnote>
  <w:footnote w:type="continuationSeparator" w:id="0">
    <w:p w14:paraId="4B62F48E" w14:textId="77777777" w:rsidR="00751BB9" w:rsidRDefault="00751BB9" w:rsidP="0080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966" w14:textId="3D5A6F95" w:rsidR="00C83A55" w:rsidRDefault="00C83A55" w:rsidP="00EB1BFB">
    <w:pPr>
      <w:framePr w:h="0" w:hSpace="180" w:wrap="around" w:vAnchor="text" w:hAnchor="page" w:x="5905" w:y="12"/>
    </w:pPr>
  </w:p>
  <w:p w14:paraId="3143A29A" w14:textId="51776CBD" w:rsidR="00C83A55" w:rsidRPr="0025433F" w:rsidRDefault="00C83A55" w:rsidP="00806952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52"/>
    <w:rsid w:val="00075372"/>
    <w:rsid w:val="001315D8"/>
    <w:rsid w:val="00160116"/>
    <w:rsid w:val="00167BFA"/>
    <w:rsid w:val="001955D2"/>
    <w:rsid w:val="001A05CB"/>
    <w:rsid w:val="001C1730"/>
    <w:rsid w:val="001E6D76"/>
    <w:rsid w:val="001F2103"/>
    <w:rsid w:val="00207CE3"/>
    <w:rsid w:val="00290C16"/>
    <w:rsid w:val="003959D0"/>
    <w:rsid w:val="00431D9B"/>
    <w:rsid w:val="004713A3"/>
    <w:rsid w:val="005C5420"/>
    <w:rsid w:val="005E31A9"/>
    <w:rsid w:val="00661D19"/>
    <w:rsid w:val="006A5C22"/>
    <w:rsid w:val="006F7EF3"/>
    <w:rsid w:val="00727D72"/>
    <w:rsid w:val="00742BD4"/>
    <w:rsid w:val="00751BB9"/>
    <w:rsid w:val="007F4A20"/>
    <w:rsid w:val="00806952"/>
    <w:rsid w:val="0082380D"/>
    <w:rsid w:val="008A2AE0"/>
    <w:rsid w:val="00940448"/>
    <w:rsid w:val="00980118"/>
    <w:rsid w:val="00A21A30"/>
    <w:rsid w:val="00A26D8C"/>
    <w:rsid w:val="00A31E3B"/>
    <w:rsid w:val="00A603FC"/>
    <w:rsid w:val="00B912B1"/>
    <w:rsid w:val="00BA5ED2"/>
    <w:rsid w:val="00BF5556"/>
    <w:rsid w:val="00C46F66"/>
    <w:rsid w:val="00C83A55"/>
    <w:rsid w:val="00D0710D"/>
    <w:rsid w:val="00D26C6F"/>
    <w:rsid w:val="00E97991"/>
    <w:rsid w:val="00EE2B9B"/>
    <w:rsid w:val="00F730BD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641"/>
  <w15:chartTrackingRefBased/>
  <w15:docId w15:val="{E80C31F5-422C-48BD-8E3C-3664F36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69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0695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Sraopastraipa">
    <w:name w:val="List Paragraph"/>
    <w:basedOn w:val="prastasis"/>
    <w:link w:val="SraopastraipaDiagrama"/>
    <w:uiPriority w:val="34"/>
    <w:qFormat/>
    <w:rsid w:val="0080695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069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8069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6952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Betarp">
    <w:name w:val="No Spacing"/>
    <w:uiPriority w:val="1"/>
    <w:qFormat/>
    <w:rsid w:val="00661D1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2687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Pugžlienė</dc:creator>
  <cp:keywords/>
  <dc:description/>
  <cp:lastModifiedBy>Eglė Zelenkienė</cp:lastModifiedBy>
  <cp:revision>2</cp:revision>
  <dcterms:created xsi:type="dcterms:W3CDTF">2023-09-18T12:19:00Z</dcterms:created>
  <dcterms:modified xsi:type="dcterms:W3CDTF">2023-09-18T12:19:00Z</dcterms:modified>
</cp:coreProperties>
</file>